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Roboto Slab" w:cs="Roboto Slab" w:eastAsia="Roboto Slab" w:hAnsi="Roboto Slab"/>
          <w:b w:val="1"/>
          <w:sz w:val="28"/>
          <w:szCs w:val="28"/>
          <w:rtl w:val="0"/>
        </w:rPr>
        <w:t xml:space="preserve">Frequent Small Group Purposeful Talk &amp; Bloom’s Taxonomy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i w:val="1"/>
          <w:color w:val="0b539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735000" cy="735000"/>
            <wp:effectExtent b="0" l="0" r="0" t="0"/>
            <wp:wrapSquare wrapText="bothSides" distB="19050" distT="19050" distL="19050" distR="1905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000" cy="73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330.0" w:type="dxa"/>
        <w:jc w:val="left"/>
        <w:tblInd w:w="15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0"/>
        <w:tblGridChange w:id="0">
          <w:tblGrid>
            <w:gridCol w:w="9330"/>
          </w:tblGrid>
        </w:tblGridChange>
      </w:tblGrid>
      <w:tr>
        <w:tc>
          <w:tcPr>
            <w:shd w:fill="3c78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Roboto Slab" w:cs="Roboto Slab" w:eastAsia="Roboto Slab" w:hAnsi="Roboto Slab"/>
                <w:i w:val="1"/>
                <w:color w:val="ffffff"/>
              </w:rPr>
            </w:pPr>
            <w:r w:rsidDel="00000000" w:rsidR="00000000" w:rsidRPr="00000000">
              <w:rPr>
                <w:rFonts w:ascii="Roboto Slab" w:cs="Roboto Slab" w:eastAsia="Roboto Slab" w:hAnsi="Roboto Slab"/>
                <w:i w:val="1"/>
                <w:color w:val="ffffff"/>
                <w:rtl w:val="0"/>
              </w:rPr>
              <w:t xml:space="preserve">Creating time and space for this frequent structured talk between learners maximize their retention of information so it can be accessed after the learning episode is over.</w:t>
            </w:r>
          </w:p>
        </w:tc>
      </w:tr>
    </w:tbl>
    <w:p w:rsidR="00000000" w:rsidDel="00000000" w:rsidP="00000000" w:rsidRDefault="00000000" w:rsidRPr="00000000" w14:paraId="00000004">
      <w:pPr>
        <w:rPr>
          <w:rFonts w:ascii="Roboto" w:cs="Roboto" w:eastAsia="Roboto" w:hAnsi="Roboto"/>
          <w:i w:val="1"/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science behind this is called the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38761d"/>
          <w:rtl w:val="0"/>
        </w:rPr>
        <w:t xml:space="preserve">primacy/recency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effect.  This research demonstrates that information presented at the beginning and at the end of a learning event tends to be retained better than information presented in the middle. </w:t>
      </w:r>
    </w:p>
    <w:p w:rsidR="00000000" w:rsidDel="00000000" w:rsidP="00000000" w:rsidRDefault="00000000" w:rsidRPr="00000000" w14:paraId="00000006">
      <w:pPr>
        <w:ind w:left="720" w:firstLine="0"/>
        <w:rPr>
          <w:rFonts w:ascii="Roboto" w:cs="Roboto" w:eastAsia="Roboto" w:hAnsi="Roboto"/>
          <w:color w:val="434343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434343"/>
            <w:u w:val="single"/>
            <w:rtl w:val="0"/>
          </w:rPr>
          <w:t xml:space="preserve">Fundamental 5 by Sean Cain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00" w:lineRule="auto"/>
        <w:ind w:left="720" w:firstLine="0"/>
        <w:rPr>
          <w:rFonts w:ascii="Roboto" w:cs="Roboto" w:eastAsia="Roboto" w:hAnsi="Roboto"/>
          <w:color w:val="434343"/>
        </w:rPr>
      </w:pPr>
      <w:hyperlink r:id="rId8">
        <w:r w:rsidDel="00000000" w:rsidR="00000000" w:rsidRPr="00000000">
          <w:rPr>
            <w:rFonts w:ascii="Roboto" w:cs="Roboto" w:eastAsia="Roboto" w:hAnsi="Roboto"/>
            <w:color w:val="434343"/>
            <w:u w:val="single"/>
            <w:rtl w:val="0"/>
          </w:rPr>
          <w:t xml:space="preserve">https://dataworks-ed.com/blog/2014/08/the-primacyrecency-effect/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214688" cy="2413686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88" cy="2413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Fonts w:ascii="Roboto" w:cs="Roboto" w:eastAsia="Roboto" w:hAnsi="Roboto"/>
              </w:rPr>
              <w:drawing>
                <wp:inline distB="114300" distT="114300" distL="114300" distR="114300">
                  <wp:extent cx="3228714" cy="240506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14" cy="2405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color w:val="38761d"/>
          <w:rtl w:val="0"/>
        </w:rPr>
        <w:t xml:space="preserve">Frequent: </w:t>
      </w:r>
      <w:r w:rsidDel="00000000" w:rsidR="00000000" w:rsidRPr="00000000">
        <w:rPr>
          <w:rtl w:val="0"/>
        </w:rPr>
        <w:t xml:space="preserve">every 15-20 minutes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color w:val="38761d"/>
          <w:rtl w:val="0"/>
        </w:rPr>
        <w:t xml:space="preserve">Small-Group:</w:t>
      </w:r>
      <w:r w:rsidDel="00000000" w:rsidR="00000000" w:rsidRPr="00000000">
        <w:rPr>
          <w:rtl w:val="0"/>
        </w:rPr>
        <w:t xml:space="preserve"> 2-5 people (more than 5 and folks will check out)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color w:val="38761d"/>
          <w:rtl w:val="0"/>
        </w:rPr>
        <w:t xml:space="preserve">Purposeful:</w:t>
      </w:r>
      <w:r w:rsidDel="00000000" w:rsidR="00000000" w:rsidRPr="00000000">
        <w:rPr>
          <w:rtl w:val="0"/>
        </w:rPr>
        <w:t xml:space="preserve"> Structured with a planned seed question, relevant to the learning immediately preceding, and requires higher-order thinking.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 Slab" w:cs="Roboto Slab" w:eastAsia="Roboto Slab" w:hAnsi="Roboto Sla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Roboto Slab" w:cs="Roboto Slab" w:eastAsia="Roboto Slab" w:hAnsi="Roboto Slab"/>
          <w:b w:val="1"/>
          <w:sz w:val="28"/>
          <w:szCs w:val="28"/>
          <w:rtl w:val="0"/>
        </w:rPr>
        <w:t xml:space="preserve">Bloom’s Taxonomy</w:t>
      </w: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35"/>
        <w:gridCol w:w="5865"/>
        <w:tblGridChange w:id="0">
          <w:tblGrid>
            <w:gridCol w:w="4935"/>
            <w:gridCol w:w="58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940237" cy="2166938"/>
                  <wp:effectExtent b="19050" l="19050" r="19050" t="1905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237" cy="2166938"/>
                          </a:xfrm>
                          <a:prstGeom prst="rect"/>
                          <a:ln w="19050">
                            <a:solidFill>
                              <a:srgbClr val="F55C2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83835" cy="2309813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1423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835" cy="2309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Slab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2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www.amazon.com/Fundamental-Formula-Quality-Instruction/dp/1456491032" TargetMode="External"/><Relationship Id="rId8" Type="http://schemas.openxmlformats.org/officeDocument/2006/relationships/hyperlink" Target="https://dataworks-ed.com/blog/2014/08/the-primacyrecency-effec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