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ab/>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626100" cy="626100"/>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6100" cy="626100"/>
                    </a:xfrm>
                    <a:prstGeom prst="rect"/>
                    <a:ln/>
                  </pic:spPr>
                </pic:pic>
              </a:graphicData>
            </a:graphic>
          </wp:anchor>
        </w:drawing>
      </w:r>
    </w:p>
    <w:p w:rsidR="00000000" w:rsidDel="00000000" w:rsidP="00000000" w:rsidRDefault="00000000" w:rsidRPr="00000000" w14:paraId="00000002">
      <w:pPr>
        <w:ind w:left="720" w:firstLine="720"/>
        <w:rPr>
          <w:rFonts w:ascii="Roboto Slab" w:cs="Roboto Slab" w:eastAsia="Roboto Slab" w:hAnsi="Roboto Slab"/>
          <w:b w:val="1"/>
          <w:sz w:val="28"/>
          <w:szCs w:val="28"/>
        </w:rPr>
      </w:pPr>
      <w:r w:rsidDel="00000000" w:rsidR="00000000" w:rsidRPr="00000000">
        <w:rPr>
          <w:rFonts w:ascii="Roboto Slab" w:cs="Roboto Slab" w:eastAsia="Roboto Slab" w:hAnsi="Roboto Slab"/>
          <w:b w:val="1"/>
          <w:sz w:val="28"/>
          <w:szCs w:val="28"/>
          <w:rtl w:val="0"/>
        </w:rPr>
        <w:t xml:space="preserve">Critical Writing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 complementary strategy to Frequent Small Group Purposeful Talk, this instructional strategy can be found in Sean Cain’s book, </w:t>
      </w:r>
      <w:hyperlink r:id="rId7">
        <w:r w:rsidDel="00000000" w:rsidR="00000000" w:rsidRPr="00000000">
          <w:rPr>
            <w:rFonts w:ascii="Roboto" w:cs="Roboto" w:eastAsia="Roboto" w:hAnsi="Roboto"/>
            <w:color w:val="1155cc"/>
            <w:sz w:val="24"/>
            <w:szCs w:val="24"/>
            <w:u w:val="single"/>
            <w:rtl w:val="0"/>
          </w:rPr>
          <w:t xml:space="preserve">The Fundamental Five</w:t>
        </w:r>
      </w:hyperlink>
      <w:r w:rsidDel="00000000" w:rsidR="00000000" w:rsidRPr="00000000">
        <w:rPr>
          <w:rtl w:val="0"/>
        </w:rPr>
      </w:r>
    </w:p>
    <w:p w:rsidR="00000000" w:rsidDel="00000000" w:rsidP="00000000" w:rsidRDefault="00000000" w:rsidRPr="00000000" w14:paraId="0000000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At the end of a learning episode, invite learners to write using higher-order thinking skills.  This “seals” the learning in a reflective way.  It is another way to actively engage with learning.  Sometimes they are called “exit tickets” and can be given to the instructor(s) or sometimes they can remain with the learner.  Index cards and a solid prompt are all that is needed.</w:t>
      </w:r>
    </w:p>
    <w:p w:rsidR="00000000" w:rsidDel="00000000" w:rsidP="00000000" w:rsidRDefault="00000000" w:rsidRPr="00000000" w14:paraId="00000009">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A">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Some sample prompts:</w:t>
      </w:r>
    </w:p>
    <w:p w:rsidR="00000000" w:rsidDel="00000000" w:rsidP="00000000" w:rsidRDefault="00000000" w:rsidRPr="00000000" w14:paraId="0000000B">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Before I thought, ___.  Now I know ___.</w:t>
      </w:r>
    </w:p>
    <w:p w:rsidR="00000000" w:rsidDel="00000000" w:rsidP="00000000" w:rsidRDefault="00000000" w:rsidRPr="00000000" w14:paraId="0000000C">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 will practice what I just learned by…</w:t>
      </w:r>
    </w:p>
    <w:p w:rsidR="00000000" w:rsidDel="00000000" w:rsidP="00000000" w:rsidRDefault="00000000" w:rsidRPr="00000000" w14:paraId="0000000D">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Learning this today inspires me to ___ next.</w:t>
      </w:r>
    </w:p>
    <w:p w:rsidR="00000000" w:rsidDel="00000000" w:rsidP="00000000" w:rsidRDefault="00000000" w:rsidRPr="00000000" w14:paraId="0000000E">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Analogies:   ___ is like ___ because ___.</w:t>
      </w:r>
    </w:p>
    <w:p w:rsidR="00000000" w:rsidDel="00000000" w:rsidP="00000000" w:rsidRDefault="00000000" w:rsidRPr="00000000" w14:paraId="0000000F">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3-2-1:  Write 3 questions you still have, 2 predictions for next time, and 1 connection you made today. (there are many possibilities for what you choose for 3-2-1)</w:t>
      </w:r>
    </w:p>
    <w:p w:rsidR="00000000" w:rsidDel="00000000" w:rsidP="00000000" w:rsidRDefault="00000000" w:rsidRPr="00000000" w14:paraId="00000010">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Choose prompts from the APPLY level or above of Bloom’s Taxonomy.</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552450</wp:posOffset>
            </wp:positionV>
            <wp:extent cx="4872038" cy="365402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872038" cy="3654028"/>
                    </a:xfrm>
                    <a:prstGeom prst="rect"/>
                    <a:ln/>
                  </pic:spPr>
                </pic:pic>
              </a:graphicData>
            </a:graphic>
          </wp:anchor>
        </w:drawing>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mazon.com/Fundamental-Formula-Quality-Instruction/dp/1456491032"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