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56B1" w14:textId="6F2AA912" w:rsidR="001B2CDA" w:rsidRPr="006B517C" w:rsidRDefault="001B2CDA" w:rsidP="001B2CDA">
      <w:pPr>
        <w:jc w:val="center"/>
        <w:rPr>
          <w:b/>
          <w:sz w:val="32"/>
          <w:szCs w:val="32"/>
        </w:rPr>
      </w:pPr>
      <w:r w:rsidRPr="006B517C">
        <w:rPr>
          <w:b/>
          <w:sz w:val="32"/>
          <w:szCs w:val="32"/>
        </w:rPr>
        <w:t>Positive Youth Development Programs</w:t>
      </w:r>
      <w:r w:rsidR="009C5210">
        <w:rPr>
          <w:b/>
          <w:sz w:val="32"/>
          <w:szCs w:val="32"/>
        </w:rPr>
        <w:t>: 4-H &amp; Community Youth Development</w:t>
      </w:r>
    </w:p>
    <w:p w14:paraId="4C62AC73" w14:textId="5E082FED" w:rsidR="001B2CDA" w:rsidRPr="006B517C" w:rsidRDefault="00BF2D94" w:rsidP="001B2CDA">
      <w:pPr>
        <w:jc w:val="center"/>
        <w:rPr>
          <w:b/>
          <w:sz w:val="32"/>
          <w:szCs w:val="32"/>
          <w:u w:val="single"/>
        </w:rPr>
      </w:pPr>
      <w:r w:rsidRPr="006B517C">
        <w:rPr>
          <w:b/>
          <w:sz w:val="32"/>
          <w:szCs w:val="32"/>
          <w:u w:val="single"/>
        </w:rPr>
        <w:t xml:space="preserve">Individual </w:t>
      </w:r>
      <w:r w:rsidR="001B2CDA" w:rsidRPr="006B517C">
        <w:rPr>
          <w:b/>
          <w:sz w:val="32"/>
          <w:szCs w:val="32"/>
          <w:u w:val="single"/>
        </w:rPr>
        <w:t>Outcomes</w:t>
      </w:r>
    </w:p>
    <w:p w14:paraId="007EA40E" w14:textId="6EBCEB9A" w:rsidR="001B2CDA" w:rsidRDefault="001B2CDA">
      <w:r w:rsidRPr="009C5210">
        <w:rPr>
          <w:b/>
        </w:rPr>
        <w:t>4-H</w:t>
      </w:r>
      <w:r>
        <w:t xml:space="preserve"> provides membership programs that provide youth members with a comprehensive positive youth development opportunity for youth aged 5-19 supported by families and volunteers.</w:t>
      </w:r>
      <w:r w:rsidR="006B517C">
        <w:t xml:space="preserve"> 4-H program outcomes are generally framed as individual youth outcomes.</w:t>
      </w:r>
    </w:p>
    <w:p w14:paraId="6E709093" w14:textId="7ADE4EB6" w:rsidR="006B517C" w:rsidRDefault="0049012A" w:rsidP="006B517C">
      <w:r>
        <w:rPr>
          <w:noProof/>
        </w:rPr>
        <w:drawing>
          <wp:anchor distT="0" distB="0" distL="114300" distR="114300" simplePos="0" relativeHeight="251673600" behindDoc="1" locked="0" layoutInCell="1" allowOverlap="1" wp14:anchorId="1D884FD1" wp14:editId="0682C07B">
            <wp:simplePos x="0" y="0"/>
            <wp:positionH relativeFrom="margin">
              <wp:align>right</wp:align>
            </wp:positionH>
            <wp:positionV relativeFrom="page">
              <wp:posOffset>2190750</wp:posOffset>
            </wp:positionV>
            <wp:extent cx="6671132" cy="30708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32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CDA" w:rsidRPr="009C5210">
        <w:rPr>
          <w:b/>
        </w:rPr>
        <w:t>Community Youth Development</w:t>
      </w:r>
      <w:r w:rsidR="001B2CDA">
        <w:t xml:space="preserve"> programs emphasize youth program objectives focused </w:t>
      </w:r>
      <w:r w:rsidR="00981694">
        <w:t xml:space="preserve">on </w:t>
      </w:r>
      <w:r w:rsidR="001B2CDA">
        <w:t xml:space="preserve">community connections and </w:t>
      </w:r>
      <w:r w:rsidR="00981694">
        <w:t xml:space="preserve">youth voice and </w:t>
      </w:r>
      <w:r w:rsidR="001B2CDA">
        <w:t xml:space="preserve">action and </w:t>
      </w:r>
      <w:r w:rsidR="00C91A58">
        <w:t xml:space="preserve">are </w:t>
      </w:r>
      <w:r w:rsidR="001B2CDA">
        <w:t>generally appropriate for an adolescent audience.</w:t>
      </w:r>
      <w:r w:rsidR="006B517C">
        <w:t xml:space="preserve"> CYD program outcomes are often framed as organizational or community outcomes.</w:t>
      </w:r>
    </w:p>
    <w:p w14:paraId="19B52D84" w14:textId="260076E7" w:rsidR="001B2CDA" w:rsidRPr="009C5210" w:rsidRDefault="00541736" w:rsidP="009C521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36E52A8" wp14:editId="2531E867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</wp:posOffset>
                </wp:positionV>
                <wp:extent cx="5448300" cy="2933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47CA0" w14:textId="5390FA44" w:rsidR="00541736" w:rsidRDefault="005417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5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.9pt;width:429pt;height:23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V1IQ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" stroked="f">
                <v:textbox>
                  <w:txbxContent>
                    <w:p w14:paraId="41C47CA0" w14:textId="5390FA44" w:rsidR="00541736" w:rsidRDefault="00541736"/>
                  </w:txbxContent>
                </v:textbox>
              </v:shape>
            </w:pict>
          </mc:Fallback>
        </mc:AlternateContent>
      </w:r>
    </w:p>
    <w:p w14:paraId="09A8E609" w14:textId="342EF36C" w:rsidR="00BB1B02" w:rsidRDefault="00541736" w:rsidP="001B2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3013F3" wp14:editId="387C7366">
                <wp:simplePos x="0" y="0"/>
                <wp:positionH relativeFrom="margin">
                  <wp:posOffset>1866900</wp:posOffset>
                </wp:positionH>
                <wp:positionV relativeFrom="paragraph">
                  <wp:posOffset>2592705</wp:posOffset>
                </wp:positionV>
                <wp:extent cx="2360930" cy="1404620"/>
                <wp:effectExtent l="0" t="0" r="0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05FE" w14:textId="057841F0" w:rsidR="009C5210" w:rsidRPr="009C5210" w:rsidRDefault="009C5210" w:rsidP="009C521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C521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Audiences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013F3" id="_x0000_s1027" type="#_x0000_t202" style="position:absolute;margin-left:147pt;margin-top:204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fXIgIAACQ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" stroked="f">
                <v:textbox style="mso-fit-shape-to-text:t">
                  <w:txbxContent>
                    <w:p w14:paraId="6AAC05FE" w14:textId="057841F0" w:rsidR="009C5210" w:rsidRPr="009C5210" w:rsidRDefault="009C5210" w:rsidP="009C5210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C5210">
                        <w:rPr>
                          <w:b/>
                          <w:sz w:val="32"/>
                          <w:szCs w:val="32"/>
                          <w:u w:val="single"/>
                        </w:rPr>
                        <w:t>Audiences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18E3B" w14:textId="083D547F" w:rsidR="00BB1B02" w:rsidRDefault="004901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FF3387" wp14:editId="1118B352">
                <wp:simplePos x="0" y="0"/>
                <wp:positionH relativeFrom="column">
                  <wp:posOffset>336550</wp:posOffset>
                </wp:positionH>
                <wp:positionV relativeFrom="paragraph">
                  <wp:posOffset>5583555</wp:posOffset>
                </wp:positionV>
                <wp:extent cx="6305550" cy="92710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FA63" w14:textId="77777777" w:rsidR="00BB1B02" w:rsidRDefault="009C5210" w:rsidP="009C5210">
                            <w:r>
                              <w:t xml:space="preserve">While CYD has a primary focus on community capacity building and youth voice, 4-H staff also work with partnerships to </w:t>
                            </w:r>
                            <w:r w:rsidR="00044A04">
                              <w:t>create</w:t>
                            </w:r>
                            <w:r>
                              <w:t xml:space="preserve"> positive youth development </w:t>
                            </w:r>
                            <w:r w:rsidR="00044A04">
                              <w:t>opportunities</w:t>
                            </w:r>
                            <w:r>
                              <w:t xml:space="preserve"> for all youth</w:t>
                            </w:r>
                            <w:r w:rsidR="00566864">
                              <w:t xml:space="preserve"> and </w:t>
                            </w:r>
                            <w:r w:rsidR="00044A04">
                              <w:t>to expand connections for 4-H programs</w:t>
                            </w:r>
                            <w:r>
                              <w:t>. 4-H programs can be a model for others in positive youth development. And CYD staff may build 4-H membership opportunities into educational programming they develop and support.</w:t>
                            </w:r>
                          </w:p>
                          <w:tbl>
                            <w:tblPr>
                              <w:tblW w:w="1080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BB1B02" w14:paraId="09B1E3AF" w14:textId="77777777" w:rsidTr="001A41C1">
                              <w:trPr>
                                <w:trHeight w:val="420"/>
                              </w:trPr>
                              <w:tc>
                                <w:tcPr>
                                  <w:tcW w:w="10800" w:type="dxa"/>
                                  <w:gridSpan w:val="2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E69A14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Positive Youth Development (PYD)</w:t>
                                  </w:r>
                                </w:p>
                              </w:tc>
                            </w:tr>
                            <w:tr w:rsidR="00BB1B02" w14:paraId="525B0DA2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787211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Wisconsin 4-H Program Model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BCA037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Community Youth Development (CYD)</w:t>
                                  </w:r>
                                </w:p>
                              </w:tc>
                            </w:tr>
                            <w:tr w:rsidR="00BB1B02" w14:paraId="3C5B1549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26EDC6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of the 5cs of caring/compassion, competence, character, connection and confidence</w:t>
                                  </w:r>
                                </w:p>
                                <w:p w14:paraId="127C8A51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D3008B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An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asset based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approach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that provides active support for the growing capacity of young people.</w:t>
                                  </w:r>
                                </w:p>
                                <w:p w14:paraId="0FC8BA67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A3B618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planned set of activities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(programs)that foster the growing capacity of young people.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8D84CA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Emphasizes a 6th C of youth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Contribution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to families, neighborhoods and communities using the other 5 C’s. </w:t>
                                  </w:r>
                                </w:p>
                                <w:p w14:paraId="392C43ED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236AF64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Focuses on collaboration and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partnerships for the development of communities.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6F3766E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133167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Program environments incorporate the developmental components to the left.</w:t>
                                  </w:r>
                                </w:p>
                              </w:tc>
                            </w:tr>
                            <w:tr w:rsidR="00BB1B02" w14:paraId="72DE2840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4C5555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Focuses on the development of the individual young person or persons.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72601E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Focuses on the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interaction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of the individual with his or her environment (family, school, community,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1B02" w14:paraId="7B0FD26C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BB18C8" w14:textId="77777777" w:rsidR="00BB1B02" w:rsidRDefault="00BB1B02" w:rsidP="00BB1B02">
                                  <w:pPr>
                                    <w:widowControl w:val="0"/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Can be a springboard or precursor for providing CYD efforts but also provides meaningful and positive development within its programs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B2A279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Youth become active partners in their own development as well as in their community’s development. </w:t>
                                  </w:r>
                                </w:p>
                              </w:tc>
                            </w:tr>
                            <w:tr w:rsidR="00BB1B02" w14:paraId="4F408F55" w14:textId="77777777" w:rsidTr="001A41C1">
                              <w:trPr>
                                <w:trHeight w:val="420"/>
                              </w:trPr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086A9A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The WI 4-H Youth Development Program includes many components that promote CYD including Educational Pathway and Workforce Access, Civic Engagement and Advocacy. 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EE690A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CYD works across community settings to build capacity to address youth issues and to engage youth in leadership spaces. 4-H is an important audience/setting. </w:t>
                                  </w:r>
                                </w:p>
                              </w:tc>
                            </w:tr>
                            <w:tr w:rsidR="00BB1B02" w14:paraId="150BB9BD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C77C87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Generally framed as individual youth outcomes.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014047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Generally framed as organizational or community outcomes. </w:t>
                                  </w:r>
                                </w:p>
                              </w:tc>
                            </w:tr>
                            <w:tr w:rsidR="00BB1B02" w14:paraId="2494354C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E1483F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Generally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reaches a large span of youth ages (K-Young Adult)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9D88C1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Generally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reaches an adolescent and young adult audience.</w:t>
                                  </w:r>
                                </w:p>
                              </w:tc>
                            </w:tr>
                            <w:tr w:rsidR="00BB1B02" w14:paraId="381A4EBD" w14:textId="77777777" w:rsidTr="001A41C1">
                              <w:trPr>
                                <w:trHeight w:val="220"/>
                              </w:trPr>
                              <w:tc>
                                <w:tcPr>
                                  <w:tcW w:w="10800" w:type="dxa"/>
                                  <w:gridSpan w:val="2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CD6EA3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hd w:val="clear" w:color="auto" w:fill="B7B7B7"/>
                                    </w:rPr>
                                  </w:pPr>
                                </w:p>
                              </w:tc>
                            </w:tr>
                            <w:tr w:rsidR="00BB1B02" w14:paraId="3DDD7110" w14:textId="77777777" w:rsidTr="001A41C1">
                              <w:trPr>
                                <w:trHeight w:val="360"/>
                              </w:trPr>
                              <w:tc>
                                <w:tcPr>
                                  <w:tcW w:w="10800" w:type="dxa"/>
                                  <w:gridSpan w:val="2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4B753C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Positive Youth Development (PYD) Institute Staffing Roles</w:t>
                                  </w:r>
                                </w:p>
                              </w:tc>
                            </w:tr>
                            <w:tr w:rsidR="00BB1B02" w14:paraId="5E4670F6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474CB9" w14:textId="77777777" w:rsidR="00BB1B02" w:rsidRDefault="00BB1B02" w:rsidP="00BB1B02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4-H Program Coordinator Role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575437" w14:textId="77777777" w:rsidR="00BB1B02" w:rsidRDefault="00BB1B02" w:rsidP="00BB1B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CYD Extension Educator Role</w:t>
                                  </w:r>
                                </w:p>
                              </w:tc>
                            </w:tr>
                            <w:tr w:rsidR="00BB1B02" w14:paraId="72A8554B" w14:textId="77777777" w:rsidTr="001A41C1">
                              <w:trPr>
                                <w:trHeight w:val="440"/>
                              </w:trPr>
                              <w:tc>
                                <w:tcPr>
                                  <w:tcW w:w="10800" w:type="dxa"/>
                                  <w:gridSpan w:val="2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6862EF" w14:textId="77777777" w:rsidR="00BB1B02" w:rsidRDefault="00BB1B02" w:rsidP="00BB1B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Staff manage linkages between the Extension Institutes, other community resource offerings and 4-H programs.</w:t>
                                  </w:r>
                                </w:p>
                              </w:tc>
                            </w:tr>
                            <w:tr w:rsidR="00BB1B02" w14:paraId="4489CC14" w14:textId="77777777" w:rsidTr="001A41C1">
                              <w:trPr>
                                <w:trHeight w:val="440"/>
                              </w:trPr>
                              <w:tc>
                                <w:tcPr>
                                  <w:tcW w:w="10800" w:type="dxa"/>
                                  <w:gridSpan w:val="2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DD22B8" w14:textId="77777777" w:rsidR="00BB1B02" w:rsidRDefault="00BB1B02" w:rsidP="00BB1B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Staff identify opportunities to connect non-traditional partners with 4-H directly or through MOUs to expand the reach of 4-H</w:t>
                                  </w:r>
                                </w:p>
                              </w:tc>
                            </w:tr>
                            <w:tr w:rsidR="00BB1B02" w14:paraId="33CA63B1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66EFEF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4-H Membership Recruitment, including marketing, reaching diverse and underserved audiences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0F8768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Assessing community needs related to the positive development of youth.</w:t>
                                  </w:r>
                                </w:p>
                              </w:tc>
                            </w:tr>
                            <w:tr w:rsidR="00BB1B02" w14:paraId="1CC2FABD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5F5F01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4-H Volunteer Recruitment, Development and Management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CCA42C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Building community capacity to address issues that affect youth</w:t>
                                  </w:r>
                                </w:p>
                              </w:tc>
                            </w:tr>
                            <w:tr w:rsidR="00BB1B02" w14:paraId="0B53D2CA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19D476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4-H Club/Group Management – including oversight for educational programming, policy and risk management, and financial reporting and accountability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AEBA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Leading initiatives and collaborating with organizations to respond to youth issues</w:t>
                                  </w:r>
                                </w:p>
                              </w:tc>
                            </w:tr>
                            <w:tr w:rsidR="00BB1B02" w14:paraId="75864331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CA5238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Locally Relevant and Responsive 4-H Program and Project Development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-  supporting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 program quality and evaluating and reporting program results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C10915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Linking to university resources or directly providing youth development education and training to youth-serving organizations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including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the 4-H program</w:t>
                                  </w:r>
                                </w:p>
                              </w:tc>
                            </w:tr>
                            <w:tr w:rsidR="00BB1B02" w14:paraId="5E23DE5E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CCA377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Connect members and clubs to countywide, state, and national opportunities provided by 4-H and others.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7DF06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Engaging young people in addressing community needs</w:t>
                                  </w:r>
                                </w:p>
                              </w:tc>
                            </w:tr>
                            <w:tr w:rsidR="00BB1B02" w14:paraId="4A294CB5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169949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Engage in external partnerships to support youth outcomes, or, for the purpose of expanding 4-H engagement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0356E3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Promote youth-adult partnerships and elevate youth voice, especially in traditionally adult spaces</w:t>
                                  </w:r>
                                </w:p>
                              </w:tc>
                            </w:tr>
                            <w:tr w:rsidR="00BB1B02" w14:paraId="243A8601" w14:textId="77777777" w:rsidTr="001A41C1"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09A8A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Serve as a model and resource for the development of positive youth development programs in the community.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E5715B" w14:textId="77777777" w:rsidR="00BB1B02" w:rsidRDefault="00BB1B02" w:rsidP="00BB1B02">
                                  <w:pPr>
                                    <w:spacing w:line="240" w:lineRule="auto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91E32" w14:textId="6B429542" w:rsidR="009C5210" w:rsidRDefault="009C5210" w:rsidP="009C5210"/>
                          <w:p w14:paraId="2A2C2099" w14:textId="733E1ADD" w:rsidR="009C5210" w:rsidRDefault="009C5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3387" id="_x0000_s1028" type="#_x0000_t202" style="position:absolute;margin-left:26.5pt;margin-top:439.65pt;width:496.5pt;height: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" stroked="f">
                <v:textbox>
                  <w:txbxContent>
                    <w:p w14:paraId="7464FA63" w14:textId="77777777" w:rsidR="00BB1B02" w:rsidRDefault="009C5210" w:rsidP="009C5210">
                      <w:r>
                        <w:t xml:space="preserve">While CYD has a primary focus on community capacity building and youth voice, 4-H staff also work with partnerships to </w:t>
                      </w:r>
                      <w:r w:rsidR="00044A04">
                        <w:t>create</w:t>
                      </w:r>
                      <w:r>
                        <w:t xml:space="preserve"> positive youth development </w:t>
                      </w:r>
                      <w:r w:rsidR="00044A04">
                        <w:t>opportunities</w:t>
                      </w:r>
                      <w:r>
                        <w:t xml:space="preserve"> for all youth</w:t>
                      </w:r>
                      <w:r w:rsidR="00566864">
                        <w:t xml:space="preserve"> and </w:t>
                      </w:r>
                      <w:r w:rsidR="00044A04">
                        <w:t>to expand connections for 4-H programs</w:t>
                      </w:r>
                      <w:r>
                        <w:t>. 4-H programs can be a model for others in positive youth development. And CYD staff may build 4-H membership opportunities into educational programming they develop and support.</w:t>
                      </w:r>
                    </w:p>
                    <w:tbl>
                      <w:tblPr>
                        <w:tblW w:w="1080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5400"/>
                        <w:gridCol w:w="5400"/>
                      </w:tblGrid>
                      <w:tr w:rsidR="00BB1B02" w14:paraId="09B1E3AF" w14:textId="77777777" w:rsidTr="001A41C1">
                        <w:trPr>
                          <w:trHeight w:val="420"/>
                        </w:trPr>
                        <w:tc>
                          <w:tcPr>
                            <w:tcW w:w="10800" w:type="dxa"/>
                            <w:gridSpan w:val="2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E69A14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Positive Youth Development (PYD)</w:t>
                            </w:r>
                          </w:p>
                        </w:tc>
                      </w:tr>
                      <w:tr w:rsidR="00BB1B02" w14:paraId="525B0DA2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787211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Wisconsin 4-H Program Model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BCA037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Community Youth Development (CYD)</w:t>
                            </w:r>
                          </w:p>
                        </w:tc>
                      </w:tr>
                      <w:tr w:rsidR="00BB1B02" w14:paraId="3C5B1549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26EDC6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development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of the 5cs of caring/compassion, competence, character, connection and confidence</w:t>
                            </w:r>
                          </w:p>
                          <w:p w14:paraId="127C8A51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ED3008B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asset based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approach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that provides active support for the growing capacity of young people.</w:t>
                            </w:r>
                          </w:p>
                          <w:p w14:paraId="0FC8BA67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2A3B618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planned set of activities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(programs)that foster the growing capacity of young people.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8D84CA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Emphasizes a 6th C of youth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u w:val="single"/>
                              </w:rPr>
                              <w:t xml:space="preserve">Contribution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to families, neighborhoods and communities using the other 5 C’s. </w:t>
                            </w:r>
                          </w:p>
                          <w:p w14:paraId="392C43ED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236AF64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Focuses on collaboration and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partnerships for the development of communities.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F3766E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5133167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Program environments incorporate the developmental components to the left.</w:t>
                            </w:r>
                          </w:p>
                        </w:tc>
                      </w:tr>
                      <w:tr w:rsidR="00BB1B02" w14:paraId="72DE2840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4C5555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Focuses on the development of the individual young person or persons. 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72601E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Focuses on the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interaction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of the individual with his or her environment (family, school, community,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BB1B02" w14:paraId="7B0FD26C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BB18C8" w14:textId="77777777" w:rsidR="00BB1B02" w:rsidRDefault="00BB1B02" w:rsidP="00BB1B02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Can be a springboard or precursor for providing CYD efforts but also provides meaningful and positive development within its programs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B2A279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Youth become active partners in their own development as well as in their community’s development. </w:t>
                            </w:r>
                          </w:p>
                        </w:tc>
                      </w:tr>
                      <w:tr w:rsidR="00BB1B02" w14:paraId="4F408F55" w14:textId="77777777" w:rsidTr="001A41C1">
                        <w:trPr>
                          <w:trHeight w:val="420"/>
                        </w:trPr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086A9A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The WI 4-H Youth Development Program includes many components that promote CYD including Educational Pathway and Workforce Access, Civic Engagement and Advocacy. 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EE690A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CYD works across community settings to build capacity to address youth issues and to engage youth in leadership spaces. 4-H is an important audience/setting. </w:t>
                            </w:r>
                          </w:p>
                        </w:tc>
                      </w:tr>
                      <w:tr w:rsidR="00BB1B02" w14:paraId="150BB9BD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C77C87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Generally framed as individual youth outcomes.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014047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Generally framed as organizational or community outcomes. </w:t>
                            </w:r>
                          </w:p>
                        </w:tc>
                      </w:tr>
                      <w:tr w:rsidR="00BB1B02" w14:paraId="2494354C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E1483F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Generally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reaches a large span of youth ages (K-Young Adult)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9D88C1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Generally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reaches an adolescent and young adult audience.</w:t>
                            </w:r>
                          </w:p>
                        </w:tc>
                      </w:tr>
                      <w:tr w:rsidR="00BB1B02" w14:paraId="381A4EBD" w14:textId="77777777" w:rsidTr="001A41C1">
                        <w:trPr>
                          <w:trHeight w:val="220"/>
                        </w:trPr>
                        <w:tc>
                          <w:tcPr>
                            <w:tcW w:w="10800" w:type="dxa"/>
                            <w:gridSpan w:val="2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CD6EA3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alibri" w:eastAsia="Calibri" w:hAnsi="Calibri" w:cs="Calibri"/>
                                <w:shd w:val="clear" w:color="auto" w:fill="B7B7B7"/>
                              </w:rPr>
                            </w:pPr>
                          </w:p>
                        </w:tc>
                      </w:tr>
                      <w:tr w:rsidR="00BB1B02" w14:paraId="3DDD7110" w14:textId="77777777" w:rsidTr="001A41C1">
                        <w:trPr>
                          <w:trHeight w:val="360"/>
                        </w:trPr>
                        <w:tc>
                          <w:tcPr>
                            <w:tcW w:w="10800" w:type="dxa"/>
                            <w:gridSpan w:val="2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4B753C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Positive Youth Development (PYD) Institute Staffing Roles</w:t>
                            </w:r>
                          </w:p>
                        </w:tc>
                      </w:tr>
                      <w:tr w:rsidR="00BB1B02" w14:paraId="5E4670F6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474CB9" w14:textId="77777777" w:rsidR="00BB1B02" w:rsidRDefault="00BB1B02" w:rsidP="00BB1B0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4-H Program Coordinator Role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575437" w14:textId="77777777" w:rsidR="00BB1B02" w:rsidRDefault="00BB1B02" w:rsidP="00BB1B02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CYD Extension Educator Role</w:t>
                            </w:r>
                          </w:p>
                        </w:tc>
                      </w:tr>
                      <w:tr w:rsidR="00BB1B02" w14:paraId="72A8554B" w14:textId="77777777" w:rsidTr="001A41C1">
                        <w:trPr>
                          <w:trHeight w:val="440"/>
                        </w:trPr>
                        <w:tc>
                          <w:tcPr>
                            <w:tcW w:w="10800" w:type="dxa"/>
                            <w:gridSpan w:val="2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6862EF" w14:textId="77777777" w:rsidR="00BB1B02" w:rsidRDefault="00BB1B02" w:rsidP="00BB1B02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Staff manage linkages between the Extension Institutes, other community resource offerings and 4-H programs.</w:t>
                            </w:r>
                          </w:p>
                        </w:tc>
                      </w:tr>
                      <w:tr w:rsidR="00BB1B02" w14:paraId="4489CC14" w14:textId="77777777" w:rsidTr="001A41C1">
                        <w:trPr>
                          <w:trHeight w:val="440"/>
                        </w:trPr>
                        <w:tc>
                          <w:tcPr>
                            <w:tcW w:w="10800" w:type="dxa"/>
                            <w:gridSpan w:val="2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DD22B8" w14:textId="77777777" w:rsidR="00BB1B02" w:rsidRDefault="00BB1B02" w:rsidP="00BB1B02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Staff identify opportunities to connect non-traditional partners with 4-H directly or through MOUs to expand the reach of 4-H</w:t>
                            </w:r>
                          </w:p>
                        </w:tc>
                      </w:tr>
                      <w:tr w:rsidR="00BB1B02" w14:paraId="33CA63B1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66EFEF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4-H Membership Recruitment, including marketing, reaching diverse and underserved audiences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0F8768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Assessing community needs related to the positive development of youth.</w:t>
                            </w:r>
                          </w:p>
                        </w:tc>
                      </w:tr>
                      <w:tr w:rsidR="00BB1B02" w14:paraId="1CC2FABD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5F5F01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4-H Volunteer Recruitment, Development and Management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CCA42C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Building community capacity to address issues that affect youth</w:t>
                            </w:r>
                          </w:p>
                        </w:tc>
                      </w:tr>
                      <w:tr w:rsidR="00BB1B02" w14:paraId="0B53D2CA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19D476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4-H Club/Group Management – including oversight for educational programming, policy and risk management, and financial reporting and accountability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AEBA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Leading initiatives and collaborating with organizations to respond to youth issues</w:t>
                            </w:r>
                          </w:p>
                        </w:tc>
                      </w:tr>
                      <w:tr w:rsidR="00BB1B02" w14:paraId="75864331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CA5238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Locally Relevant and Responsive 4-H Program and Project Development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-  supporting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program quality and evaluating and reporting program results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C10915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Linking to university resources or directly providing youth development education and training to youth-serving organizations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the 4-H program</w:t>
                            </w:r>
                          </w:p>
                        </w:tc>
                      </w:tr>
                      <w:tr w:rsidR="00BB1B02" w14:paraId="5E23DE5E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CCA377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Connect members and clubs to countywide, state, and national opportunities provided by 4-H and others.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7DF06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Engaging young people in addressing community needs</w:t>
                            </w:r>
                          </w:p>
                        </w:tc>
                      </w:tr>
                      <w:tr w:rsidR="00BB1B02" w14:paraId="4A294CB5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169949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Engage in external partnerships to support youth outcomes, or, for the purpose of expanding 4-H engagement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0356E3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Promote youth-adult partnerships and elevate youth voice, especially in traditionally adult spaces</w:t>
                            </w:r>
                          </w:p>
                        </w:tc>
                      </w:tr>
                      <w:tr w:rsidR="00BB1B02" w14:paraId="243A8601" w14:textId="77777777" w:rsidTr="001A41C1"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09A8A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Serve as a model and resource for the development of positive youth development programs in the community.</w:t>
                            </w:r>
                          </w:p>
                        </w:tc>
                        <w:tc>
                          <w:tcPr>
                            <w:tcW w:w="5400" w:type="dxa"/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E5715B" w14:textId="77777777" w:rsidR="00BB1B02" w:rsidRDefault="00BB1B02" w:rsidP="00BB1B02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491E32" w14:textId="6B429542" w:rsidR="009C5210" w:rsidRDefault="009C5210" w:rsidP="009C5210"/>
                    <w:p w14:paraId="2A2C2099" w14:textId="733E1ADD" w:rsidR="009C5210" w:rsidRDefault="009C521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3D53443" wp14:editId="4C7BDDCD">
            <wp:simplePos x="0" y="0"/>
            <wp:positionH relativeFrom="column">
              <wp:posOffset>323850</wp:posOffset>
            </wp:positionH>
            <wp:positionV relativeFrom="paragraph">
              <wp:posOffset>2215515</wp:posOffset>
            </wp:positionV>
            <wp:extent cx="6591935" cy="3843888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384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B02">
        <w:br w:type="page"/>
      </w:r>
    </w:p>
    <w:p w14:paraId="145337C7" w14:textId="77777777" w:rsidR="007255D9" w:rsidRDefault="007255D9" w:rsidP="00BB1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lang w:val="en"/>
        </w:rPr>
        <w:sectPr w:rsidR="007255D9" w:rsidSect="006B51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B1B02" w:rsidRPr="00BB1B02" w14:paraId="1FA9E440" w14:textId="77777777" w:rsidTr="0049012A">
        <w:trPr>
          <w:trHeight w:val="420"/>
        </w:trPr>
        <w:tc>
          <w:tcPr>
            <w:tcW w:w="10800" w:type="dxa"/>
            <w:gridSpan w:val="2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8C28" w14:textId="68F51021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"/>
              </w:rPr>
            </w:pPr>
            <w:r w:rsidRPr="00BB1B02">
              <w:rPr>
                <w:rFonts w:ascii="Calibri" w:eastAsia="Calibri" w:hAnsi="Calibri" w:cs="Calibri"/>
                <w:b/>
                <w:lang w:val="en"/>
              </w:rPr>
              <w:lastRenderedPageBreak/>
              <w:t>Positive Youth Development (PYD)</w:t>
            </w:r>
            <w:r w:rsidR="0049012A">
              <w:rPr>
                <w:rFonts w:ascii="Calibri" w:eastAsia="Calibri" w:hAnsi="Calibri" w:cs="Calibri"/>
                <w:b/>
                <w:lang w:val="en"/>
              </w:rPr>
              <w:t xml:space="preserve"> Program Focus</w:t>
            </w:r>
          </w:p>
        </w:tc>
      </w:tr>
      <w:tr w:rsidR="00BB1B02" w:rsidRPr="00BB1B02" w14:paraId="3FBDFECE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3FB1" w14:textId="77777777" w:rsidR="00BB1B02" w:rsidRPr="00BB1B02" w:rsidRDefault="00BB1B02" w:rsidP="0049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8D08D" w:themeFill="accent6" w:themeFillTint="99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"/>
              </w:rPr>
            </w:pPr>
            <w:bookmarkStart w:id="0" w:name="_Hlk24789450"/>
            <w:r w:rsidRPr="00BB1B02">
              <w:rPr>
                <w:rFonts w:ascii="Calibri" w:eastAsia="Calibri" w:hAnsi="Calibri" w:cs="Calibri"/>
                <w:b/>
                <w:lang w:val="en"/>
              </w:rPr>
              <w:t>Wisconsin 4-H Program Model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5E57" w14:textId="77777777" w:rsidR="00BB1B02" w:rsidRPr="00BB1B02" w:rsidRDefault="00BB1B02" w:rsidP="0049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4C6E7" w:themeFill="accent1" w:themeFillTint="66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"/>
              </w:rPr>
            </w:pPr>
            <w:r w:rsidRPr="00BB1B02">
              <w:rPr>
                <w:rFonts w:ascii="Calibri" w:eastAsia="Calibri" w:hAnsi="Calibri" w:cs="Calibri"/>
                <w:b/>
                <w:lang w:val="en"/>
              </w:rPr>
              <w:t>Community Youth Development (CYD)</w:t>
            </w:r>
          </w:p>
        </w:tc>
      </w:tr>
      <w:tr w:rsidR="00BB1B02" w:rsidRPr="00BB1B02" w14:paraId="02C8D194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FE72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The </w:t>
            </w:r>
            <w:r w:rsidRPr="00BB1B02">
              <w:rPr>
                <w:rFonts w:ascii="Calibri" w:eastAsia="Calibri" w:hAnsi="Calibri" w:cs="Calibri"/>
                <w:b/>
                <w:sz w:val="20"/>
                <w:szCs w:val="20"/>
                <w:lang w:val="en"/>
              </w:rPr>
              <w:t>development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of the 5cs of caring/compassion, competence, character, connection and confidence</w:t>
            </w:r>
          </w:p>
          <w:p w14:paraId="4A0264E8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58E5FE1C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An </w:t>
            </w:r>
            <w:proofErr w:type="gramStart"/>
            <w:r w:rsidRPr="00BB1B02">
              <w:rPr>
                <w:rFonts w:ascii="Calibri" w:eastAsia="Calibri" w:hAnsi="Calibri" w:cs="Calibri"/>
                <w:b/>
                <w:sz w:val="20"/>
                <w:szCs w:val="20"/>
                <w:lang w:val="en"/>
              </w:rPr>
              <w:t>asset based</w:t>
            </w:r>
            <w:proofErr w:type="gramEnd"/>
            <w:r w:rsidRPr="00BB1B02">
              <w:rPr>
                <w:rFonts w:ascii="Calibri" w:eastAsia="Calibri" w:hAnsi="Calibri" w:cs="Calibri"/>
                <w:b/>
                <w:sz w:val="20"/>
                <w:szCs w:val="20"/>
                <w:lang w:val="en"/>
              </w:rPr>
              <w:t xml:space="preserve"> approach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that provides active support for the growing capacity of young people.</w:t>
            </w:r>
          </w:p>
          <w:p w14:paraId="0A524C3F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1243B8B9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A </w:t>
            </w:r>
            <w:r w:rsidRPr="00BB1B02">
              <w:rPr>
                <w:rFonts w:ascii="Calibri" w:eastAsia="Calibri" w:hAnsi="Calibri" w:cs="Calibri"/>
                <w:b/>
                <w:sz w:val="20"/>
                <w:szCs w:val="20"/>
                <w:lang w:val="en"/>
              </w:rPr>
              <w:t>planned set of activities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(programs)that foster the growing capacity of young people.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4EA6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Emphasizes a 6th C of youth </w:t>
            </w:r>
            <w:r w:rsidRPr="00BB1B02">
              <w:rPr>
                <w:rFonts w:ascii="Calibri" w:eastAsia="Calibri" w:hAnsi="Calibri" w:cs="Calibri"/>
                <w:sz w:val="20"/>
                <w:szCs w:val="20"/>
                <w:u w:val="single"/>
                <w:lang w:val="en"/>
              </w:rPr>
              <w:t xml:space="preserve">Contribution 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to families, neighborhoods and communities using the other 5 C’s. </w:t>
            </w:r>
          </w:p>
          <w:p w14:paraId="18600E0C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  <w:lang w:val="en"/>
              </w:rPr>
            </w:pPr>
          </w:p>
          <w:p w14:paraId="3807B0BC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Focuses on collaboration and </w:t>
            </w:r>
            <w:r w:rsidRPr="00BB1B02">
              <w:rPr>
                <w:rFonts w:ascii="Calibri" w:eastAsia="Calibri" w:hAnsi="Calibri" w:cs="Calibri"/>
                <w:b/>
                <w:sz w:val="20"/>
                <w:szCs w:val="20"/>
                <w:lang w:val="en"/>
              </w:rPr>
              <w:t>partnerships for the development of communities.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</w:p>
          <w:p w14:paraId="1A13F5FD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  <w:p w14:paraId="0AD0AEA6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Program environments incorporate the developmental components to the left.</w:t>
            </w:r>
          </w:p>
        </w:tc>
      </w:tr>
      <w:tr w:rsidR="00BB1B02" w:rsidRPr="00BB1B02" w14:paraId="48961899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C1E0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Focuses on the development of the individual young person or persons.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A78A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Focuses on the </w:t>
            </w:r>
            <w:r w:rsidRPr="00BB1B02">
              <w:rPr>
                <w:rFonts w:ascii="Calibri" w:eastAsia="Calibri" w:hAnsi="Calibri" w:cs="Calibri"/>
                <w:i/>
                <w:sz w:val="20"/>
                <w:szCs w:val="20"/>
                <w:lang w:val="en"/>
              </w:rPr>
              <w:t xml:space="preserve">interaction 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of the individual with his or her environment (family, school, community, </w:t>
            </w:r>
            <w:proofErr w:type="spellStart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etc</w:t>
            </w:r>
            <w:proofErr w:type="spellEnd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)</w:t>
            </w:r>
          </w:p>
        </w:tc>
      </w:tr>
      <w:tr w:rsidR="00BB1B02" w:rsidRPr="00BB1B02" w14:paraId="42ADF363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9A7" w14:textId="77777777" w:rsidR="00BB1B02" w:rsidRPr="00BB1B02" w:rsidRDefault="00BB1B02" w:rsidP="00BB1B0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Can be a springboard or precursor for providing CYD efforts but also provides meaningful and positive development within its programs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E4DD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Youth become active partners in their own development as well as in their community’s development. </w:t>
            </w:r>
          </w:p>
        </w:tc>
      </w:tr>
      <w:tr w:rsidR="00BB1B02" w:rsidRPr="00BB1B02" w14:paraId="57E5CC5D" w14:textId="77777777" w:rsidTr="001A41C1">
        <w:trPr>
          <w:trHeight w:val="4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F59B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The WI 4-H Youth Development Program includes many components that promote CYD including Educational Pathway and Workforce Access, Civic Engagement and Advocacy.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1094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CYD works across community settings to build capacity to address youth issues and to engage youth in leadership spaces. 4-H is an important audience/setting. </w:t>
            </w:r>
          </w:p>
        </w:tc>
      </w:tr>
      <w:tr w:rsidR="00BB1B02" w:rsidRPr="00BB1B02" w14:paraId="28258B37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FA62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Generally framed as individual youth outcomes.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38F9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Generally framed as organizational or community outcomes. </w:t>
            </w:r>
          </w:p>
        </w:tc>
      </w:tr>
      <w:tr w:rsidR="00BB1B02" w:rsidRPr="00BB1B02" w14:paraId="69D16F36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7FE4" w14:textId="31BECCEC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proofErr w:type="gramStart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Generally</w:t>
            </w:r>
            <w:proofErr w:type="gramEnd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</w:t>
            </w:r>
            <w:r w:rsidR="00E47068">
              <w:rPr>
                <w:rFonts w:ascii="Calibri" w:eastAsia="Calibri" w:hAnsi="Calibri" w:cs="Calibri"/>
                <w:sz w:val="20"/>
                <w:szCs w:val="20"/>
                <w:lang w:val="en"/>
              </w:rPr>
              <w:t>focuses on school-aged youth.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2F8A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proofErr w:type="gramStart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Generally</w:t>
            </w:r>
            <w:proofErr w:type="gramEnd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reaches an adolescent and young adult audience.</w:t>
            </w:r>
          </w:p>
        </w:tc>
      </w:tr>
      <w:bookmarkEnd w:id="0"/>
      <w:tr w:rsidR="00BB1B02" w:rsidRPr="00BB1B02" w14:paraId="2CF3AFED" w14:textId="77777777" w:rsidTr="0049012A">
        <w:trPr>
          <w:trHeight w:val="360"/>
        </w:trPr>
        <w:tc>
          <w:tcPr>
            <w:tcW w:w="10800" w:type="dxa"/>
            <w:gridSpan w:val="2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4C59" w14:textId="77777777" w:rsidR="00BB1B02" w:rsidRPr="00BB1B02" w:rsidRDefault="00BB1B02" w:rsidP="00BB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"/>
              </w:rPr>
            </w:pPr>
            <w:r w:rsidRPr="00BB1B02">
              <w:rPr>
                <w:rFonts w:ascii="Calibri" w:eastAsia="Calibri" w:hAnsi="Calibri" w:cs="Calibri"/>
                <w:b/>
                <w:lang w:val="en"/>
              </w:rPr>
              <w:t>Positive Youth Development (PYD) Institute Staffing Roles</w:t>
            </w:r>
          </w:p>
        </w:tc>
      </w:tr>
      <w:tr w:rsidR="00BB1B02" w:rsidRPr="00BB1B02" w14:paraId="2B547C05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D66A" w14:textId="77777777" w:rsidR="00BB1B02" w:rsidRPr="00BB1B02" w:rsidRDefault="00BB1B02" w:rsidP="0049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8D08D" w:themeFill="accent6" w:themeFillTint="99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"/>
              </w:rPr>
            </w:pPr>
            <w:r w:rsidRPr="00BB1B02">
              <w:rPr>
                <w:rFonts w:ascii="Calibri" w:eastAsia="Calibri" w:hAnsi="Calibri" w:cs="Calibri"/>
                <w:b/>
                <w:lang w:val="en"/>
              </w:rPr>
              <w:t>4-H Program Coordinator Role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66A3" w14:textId="77777777" w:rsidR="00BB1B02" w:rsidRPr="00BB1B02" w:rsidRDefault="00BB1B02" w:rsidP="0049012A">
            <w:pPr>
              <w:widowControl w:val="0"/>
              <w:shd w:val="clear" w:color="auto" w:fill="B4C6E7" w:themeFill="accent1" w:themeFillTint="66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"/>
              </w:rPr>
            </w:pPr>
            <w:r w:rsidRPr="00BB1B02">
              <w:rPr>
                <w:rFonts w:ascii="Calibri" w:eastAsia="Calibri" w:hAnsi="Calibri" w:cs="Calibri"/>
                <w:b/>
                <w:lang w:val="en"/>
              </w:rPr>
              <w:t>CYD Extension Educator Role</w:t>
            </w:r>
          </w:p>
        </w:tc>
      </w:tr>
      <w:tr w:rsidR="00BB1B02" w:rsidRPr="00BB1B02" w14:paraId="584FC202" w14:textId="77777777" w:rsidTr="0049012A">
        <w:trPr>
          <w:trHeight w:val="440"/>
        </w:trPr>
        <w:tc>
          <w:tcPr>
            <w:tcW w:w="108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8882" w14:textId="77777777" w:rsidR="00BB1B02" w:rsidRPr="00BB1B02" w:rsidRDefault="00BB1B02" w:rsidP="00BB1B0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Staff manage linkages between the Extension Institutes, other community resource offerings and 4-H programs.</w:t>
            </w:r>
          </w:p>
        </w:tc>
      </w:tr>
      <w:tr w:rsidR="00BB1B02" w:rsidRPr="00BB1B02" w14:paraId="5DDBD901" w14:textId="77777777" w:rsidTr="0049012A">
        <w:trPr>
          <w:trHeight w:val="440"/>
        </w:trPr>
        <w:tc>
          <w:tcPr>
            <w:tcW w:w="108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BE51" w14:textId="20E5DF1F" w:rsidR="00BB1B02" w:rsidRPr="00BB1B02" w:rsidRDefault="00BB1B02" w:rsidP="00BB1B0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Staff connect non-traditional partners with 4-H directly or through </w:t>
            </w:r>
            <w:r w:rsidR="0049012A">
              <w:rPr>
                <w:rFonts w:ascii="Calibri" w:eastAsia="Calibri" w:hAnsi="Calibri" w:cs="Calibri"/>
                <w:sz w:val="20"/>
                <w:szCs w:val="20"/>
                <w:lang w:val="en"/>
              </w:rPr>
              <w:t>agreements/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MOUs to expand the reach of 4-H</w:t>
            </w:r>
            <w:r w:rsidR="0049012A">
              <w:rPr>
                <w:rFonts w:ascii="Calibri" w:eastAsia="Calibri" w:hAnsi="Calibri" w:cs="Calibri"/>
                <w:sz w:val="20"/>
                <w:szCs w:val="20"/>
                <w:lang w:val="en"/>
              </w:rPr>
              <w:t>.</w:t>
            </w:r>
          </w:p>
        </w:tc>
      </w:tr>
      <w:tr w:rsidR="00BB1B02" w:rsidRPr="00BB1B02" w14:paraId="2AF1B992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250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4-H Membership Recruitment, including marketing, reaching diverse and underserved audiences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06EE" w14:textId="72C27121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Assess community needs related to the positive development of youth.</w:t>
            </w:r>
          </w:p>
        </w:tc>
      </w:tr>
      <w:tr w:rsidR="00BB1B02" w:rsidRPr="00BB1B02" w14:paraId="519342C6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D91A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4-H Volunteer Recruitment, Development and Management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83B9" w14:textId="0CDBE006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Build community capacity to address issues that affect youth</w:t>
            </w:r>
          </w:p>
        </w:tc>
      </w:tr>
      <w:tr w:rsidR="00BB1B02" w:rsidRPr="00BB1B02" w14:paraId="5F29D0BF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755B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4-H Club/Group Management – including oversight for educational programming, policy and risk management, and financial reporting and accountability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EC37" w14:textId="54A29EFA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Lead initiatives and collaborat</w:t>
            </w:r>
            <w:r w:rsidR="000529FD">
              <w:rPr>
                <w:rFonts w:ascii="Calibri" w:eastAsia="Calibri" w:hAnsi="Calibri" w:cs="Calibri"/>
                <w:sz w:val="20"/>
                <w:szCs w:val="20"/>
                <w:lang w:val="en"/>
              </w:rPr>
              <w:t>e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with organizations to respond to youth issues</w:t>
            </w:r>
          </w:p>
        </w:tc>
      </w:tr>
      <w:tr w:rsidR="00BB1B02" w:rsidRPr="00BB1B02" w14:paraId="46579663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1643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Locally Relevant and Responsive 4-H Program and Project Development </w:t>
            </w:r>
            <w:proofErr w:type="gramStart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-  supporting</w:t>
            </w:r>
            <w:proofErr w:type="gramEnd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program quality and evaluating and reporting program results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F13D" w14:textId="3CB10F88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Link to university resources or directly provid</w:t>
            </w:r>
            <w:r w:rsidR="000529FD">
              <w:rPr>
                <w:rFonts w:ascii="Calibri" w:eastAsia="Calibri" w:hAnsi="Calibri" w:cs="Calibri"/>
                <w:sz w:val="20"/>
                <w:szCs w:val="20"/>
                <w:lang w:val="en"/>
              </w:rPr>
              <w:t>e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youth development education and training to youth-serving organizations </w:t>
            </w:r>
            <w:r w:rsidRPr="00BB1B02">
              <w:rPr>
                <w:rFonts w:ascii="Calibri" w:eastAsia="Calibri" w:hAnsi="Calibri" w:cs="Calibri"/>
                <w:i/>
                <w:sz w:val="20"/>
                <w:szCs w:val="20"/>
                <w:lang w:val="en"/>
              </w:rPr>
              <w:t xml:space="preserve">including </w:t>
            </w: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the 4-H program</w:t>
            </w:r>
          </w:p>
        </w:tc>
      </w:tr>
      <w:tr w:rsidR="00BB1B02" w:rsidRPr="00BB1B02" w14:paraId="20CA916C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3D04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Connect members and clubs to countywide, state, and national opportunities provided by 4-H and others.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8F41" w14:textId="4742F2AF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Engag</w:t>
            </w:r>
            <w:r w:rsidR="000529FD">
              <w:rPr>
                <w:rFonts w:ascii="Calibri" w:eastAsia="Calibri" w:hAnsi="Calibri" w:cs="Calibri"/>
                <w:sz w:val="20"/>
                <w:szCs w:val="20"/>
                <w:lang w:val="en"/>
              </w:rPr>
              <w:t>e</w:t>
            </w:r>
            <w:bookmarkStart w:id="1" w:name="_GoBack"/>
            <w:bookmarkEnd w:id="1"/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 xml:space="preserve"> young people in addressing community needs</w:t>
            </w:r>
          </w:p>
        </w:tc>
      </w:tr>
      <w:tr w:rsidR="00BB1B02" w:rsidRPr="00BB1B02" w14:paraId="76A1B2B8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A9CA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Engage in external partnerships to support youth outcomes, or, for the purpose of expanding 4-H engagement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5DC9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Promote youth-adult partnerships and elevate youth voice, especially in traditionally adult spaces</w:t>
            </w:r>
          </w:p>
        </w:tc>
      </w:tr>
      <w:tr w:rsidR="00BB1B02" w:rsidRPr="00BB1B02" w14:paraId="04E69BF1" w14:textId="77777777" w:rsidTr="001A41C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40B8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  <w:r w:rsidRPr="00BB1B02">
              <w:rPr>
                <w:rFonts w:ascii="Calibri" w:eastAsia="Calibri" w:hAnsi="Calibri" w:cs="Calibri"/>
                <w:sz w:val="20"/>
                <w:szCs w:val="20"/>
                <w:lang w:val="en"/>
              </w:rPr>
              <w:t>Serve as a model and resource for the development of positive youth development programs in the community.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A0B2" w14:textId="77777777" w:rsidR="00BB1B02" w:rsidRPr="00BB1B02" w:rsidRDefault="00BB1B02" w:rsidP="00BB1B0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"/>
              </w:rPr>
            </w:pPr>
          </w:p>
        </w:tc>
      </w:tr>
    </w:tbl>
    <w:p w14:paraId="79E61E24" w14:textId="77777777" w:rsidR="009C5210" w:rsidRDefault="009C5210" w:rsidP="0049012A"/>
    <w:sectPr w:rsidR="009C5210" w:rsidSect="007255D9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DA"/>
    <w:rsid w:val="0001550E"/>
    <w:rsid w:val="00044A04"/>
    <w:rsid w:val="000529FD"/>
    <w:rsid w:val="001B2CDA"/>
    <w:rsid w:val="00242212"/>
    <w:rsid w:val="0049012A"/>
    <w:rsid w:val="00541736"/>
    <w:rsid w:val="00566864"/>
    <w:rsid w:val="006B517C"/>
    <w:rsid w:val="007255D9"/>
    <w:rsid w:val="008E66A8"/>
    <w:rsid w:val="00981694"/>
    <w:rsid w:val="009C5210"/>
    <w:rsid w:val="009F6A8E"/>
    <w:rsid w:val="00B44F3C"/>
    <w:rsid w:val="00BB1B02"/>
    <w:rsid w:val="00BF2D94"/>
    <w:rsid w:val="00BF44DE"/>
    <w:rsid w:val="00C91A58"/>
    <w:rsid w:val="00D747A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958C"/>
  <w15:chartTrackingRefBased/>
  <w15:docId w15:val="{7E44B21B-E7BE-4CC3-B5DB-C3923D2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 CALVERT</dc:creator>
  <cp:keywords/>
  <dc:description/>
  <cp:lastModifiedBy>MATTHEW C CALVERT</cp:lastModifiedBy>
  <cp:revision>2</cp:revision>
  <cp:lastPrinted>2019-11-15T22:24:00Z</cp:lastPrinted>
  <dcterms:created xsi:type="dcterms:W3CDTF">2019-11-18T04:36:00Z</dcterms:created>
  <dcterms:modified xsi:type="dcterms:W3CDTF">2019-11-18T04:36:00Z</dcterms:modified>
</cp:coreProperties>
</file>